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 xml:space="preserve">«ОП.01 </w:t>
      </w:r>
      <w:r>
        <w:rPr>
          <w:lang w:val="ru-RU"/>
        </w:rPr>
        <w:t>ЭЛЕМЕНТЫ</w:t>
      </w:r>
      <w:r>
        <w:rPr>
          <w:rFonts w:hint="default"/>
          <w:lang w:val="ru-RU"/>
        </w:rPr>
        <w:t xml:space="preserve"> ВЫСШЕЙ МАТЕМАТИКИ</w:t>
      </w:r>
      <w:r>
        <w:t>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 xml:space="preserve">ОП.01 </w:t>
      </w:r>
      <w:r>
        <w:rPr>
          <w:rFonts w:ascii="Times New Roman" w:hAnsi="Times New Roman"/>
          <w:color w:val="auto"/>
          <w:lang w:val="ru-RU"/>
        </w:rPr>
        <w:t>ЭЛЕМЕНТЫ</w:t>
      </w:r>
      <w:r>
        <w:rPr>
          <w:rFonts w:hint="default" w:ascii="Times New Roman" w:hAnsi="Times New Roman"/>
          <w:color w:val="auto"/>
          <w:lang w:val="ru-RU"/>
        </w:rPr>
        <w:t xml:space="preserve"> ВЫСШЕЙ МАТЕМАТИКИ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2D3E742C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Цель дисциплины «Элементы высшей математики»: формирование базовых представлений о фундаментальных понятиях и методах высшей математики, развитие аналитического и логического мышления, навыков решения практических задач с использованием математических методов, а также воспитание целостного подхода к изучению точных наук.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«Элементы высшей математики»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6D63B01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E76FEA5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3613FA73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7BE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5A6B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46B7EC1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663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15B53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8FE55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6C8382D8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EC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CDC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3D3EF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26D611D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3F9B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F328BD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2B58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23C40EA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7856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98793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6E7F0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03270620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371C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FAE8E0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8A906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4298A3D7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22AB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0713B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8D2A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72AA8EE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4D239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FE998B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959FD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7B190D3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43A12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2E1FB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755D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0691FF8D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D2E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E37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C7F24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5E6490E8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16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36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44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10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8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Экзамен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p w14:paraId="283395B4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4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431"/>
      </w:tblGrid>
      <w:tr w14:paraId="2583ECF2">
        <w:trPr>
          <w:trHeight w:val="582" w:hRule="atLeast"/>
          <w:jc w:val="center"/>
        </w:trPr>
        <w:tc>
          <w:tcPr>
            <w:tcW w:w="2972" w:type="dxa"/>
          </w:tcPr>
          <w:p w14:paraId="480FBBA0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431" w:type="dxa"/>
          </w:tcPr>
          <w:p w14:paraId="1E9DC464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33D1F647">
        <w:trPr>
          <w:jc w:val="center"/>
        </w:trPr>
        <w:tc>
          <w:tcPr>
            <w:tcW w:w="14403" w:type="dxa"/>
            <w:gridSpan w:val="2"/>
          </w:tcPr>
          <w:p w14:paraId="5125D7BB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Математический анализ (24 часа)</w:t>
            </w:r>
          </w:p>
        </w:tc>
      </w:tr>
      <w:tr w14:paraId="1881054E">
        <w:trPr>
          <w:jc w:val="center"/>
        </w:trPr>
        <w:tc>
          <w:tcPr>
            <w:tcW w:w="2972" w:type="dxa"/>
            <w:vMerge w:val="restart"/>
          </w:tcPr>
          <w:p w14:paraId="18E1D7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Пределы и непрерывность функций</w:t>
            </w:r>
          </w:p>
        </w:tc>
        <w:tc>
          <w:tcPr>
            <w:tcW w:w="11431" w:type="dxa"/>
          </w:tcPr>
          <w:p w14:paraId="2B0FCEE6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2096AD5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28B53A3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4B86D7EC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предела функции в точке и на бесконечности.</w:t>
            </w:r>
          </w:p>
          <w:p w14:paraId="0F165C51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Свойства пределов.</w:t>
            </w:r>
          </w:p>
          <w:p w14:paraId="67E0524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непрерывности функции.</w:t>
            </w:r>
          </w:p>
          <w:p w14:paraId="23C0AF1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Примеры непрерывных и разрывных функций.</w:t>
            </w:r>
          </w:p>
        </w:tc>
      </w:tr>
      <w:tr w14:paraId="53011CAE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2E543BA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08254EE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6812E4D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6CB6208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20B4C77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пределов функций в точке и на бесконечности.</w:t>
            </w:r>
          </w:p>
        </w:tc>
      </w:tr>
      <w:tr w14:paraId="5EB77516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44D9F4D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893F1FD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Определение типов разрывов функций.</w:t>
            </w:r>
          </w:p>
        </w:tc>
      </w:tr>
      <w:tr w14:paraId="34ABC1B1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3F13C8B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507509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Анализ непрерывности функций на интервале.</w:t>
            </w:r>
          </w:p>
        </w:tc>
      </w:tr>
      <w:tr w14:paraId="08E3F92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C32817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89E583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DAC5FCC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A68C3D1">
        <w:trPr>
          <w:trHeight w:val="77" w:hRule="atLeast"/>
          <w:jc w:val="center"/>
        </w:trPr>
        <w:tc>
          <w:tcPr>
            <w:tcW w:w="2972" w:type="dxa"/>
            <w:vMerge w:val="restart"/>
          </w:tcPr>
          <w:p w14:paraId="2CD9A07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Производная и её применение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CB1A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61CCFC9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02CE2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9029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производной и её геометрический смысл.</w:t>
            </w:r>
          </w:p>
          <w:p w14:paraId="2FE625E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Правила дифференцирования.</w:t>
            </w:r>
          </w:p>
          <w:p w14:paraId="2B48620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производных: нахождение экстремумов, исследование функций.</w:t>
            </w:r>
          </w:p>
          <w:p w14:paraId="12E5D4AE">
            <w:pPr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Частные производные.</w:t>
            </w:r>
          </w:p>
        </w:tc>
      </w:tr>
      <w:tr w14:paraId="726BFED3">
        <w:trPr>
          <w:trHeight w:val="206" w:hRule="atLeast"/>
          <w:jc w:val="center"/>
        </w:trPr>
        <w:tc>
          <w:tcPr>
            <w:tcW w:w="2972" w:type="dxa"/>
            <w:vMerge w:val="continue"/>
          </w:tcPr>
          <w:p w14:paraId="6A5C0AD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7C1A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7847BDCE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341BCD7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69FA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производных для элементарных и составных функций.</w:t>
            </w:r>
          </w:p>
        </w:tc>
      </w:tr>
      <w:tr w14:paraId="091BD442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7349768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417A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Исследование функций с помощью производных (нахождение экстремумов и точек перегиба).</w:t>
            </w:r>
          </w:p>
        </w:tc>
      </w:tr>
      <w:tr w14:paraId="75963DB9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0BAAAE1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6429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частных производных в многомерных функциях.</w:t>
            </w:r>
          </w:p>
        </w:tc>
      </w:tr>
      <w:tr w14:paraId="4683C6E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FCAE7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A5F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CC902F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D2BAB7D">
        <w:trPr>
          <w:jc w:val="center"/>
        </w:trPr>
        <w:tc>
          <w:tcPr>
            <w:tcW w:w="2972" w:type="dxa"/>
            <w:vMerge w:val="restart"/>
          </w:tcPr>
          <w:p w14:paraId="48733C0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1.3. Интегралы и их применение</w:t>
            </w:r>
          </w:p>
        </w:tc>
        <w:tc>
          <w:tcPr>
            <w:tcW w:w="11431" w:type="dxa"/>
          </w:tcPr>
          <w:p w14:paraId="07D3A348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D1FAE4A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F5ECC4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2D0836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неопределённого и определённого интеграла.</w:t>
            </w:r>
          </w:p>
          <w:p w14:paraId="344E1A1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методы интегрирования (подстановка, интегрирование по частям).</w:t>
            </w:r>
          </w:p>
          <w:p w14:paraId="334C31CF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интегралов для расчёта площадей, объёмов и физических величин.</w:t>
            </w:r>
          </w:p>
        </w:tc>
      </w:tr>
      <w:tr w14:paraId="7D62CDE0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136E096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F6C6B71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1E32D82">
        <w:trPr>
          <w:trHeight w:val="85" w:hRule="atLeast"/>
          <w:jc w:val="center"/>
        </w:trPr>
        <w:tc>
          <w:tcPr>
            <w:tcW w:w="2972" w:type="dxa"/>
            <w:vMerge w:val="continue"/>
          </w:tcPr>
          <w:p w14:paraId="5281061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AD32946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неопределённых интегралов с использованием метода подстановки.</w:t>
            </w:r>
          </w:p>
        </w:tc>
      </w:tr>
      <w:tr w14:paraId="55D89900">
        <w:trPr>
          <w:trHeight w:val="85" w:hRule="atLeast"/>
          <w:jc w:val="center"/>
        </w:trPr>
        <w:tc>
          <w:tcPr>
            <w:tcW w:w="2972" w:type="dxa"/>
            <w:vMerge w:val="continue"/>
          </w:tcPr>
          <w:p w14:paraId="1355AE3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909539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метода интегрирования по частям для нахождения интегралов.</w:t>
            </w:r>
          </w:p>
        </w:tc>
      </w:tr>
      <w:tr w14:paraId="60DD1CA1">
        <w:trPr>
          <w:trHeight w:val="85" w:hRule="atLeast"/>
          <w:jc w:val="center"/>
        </w:trPr>
        <w:tc>
          <w:tcPr>
            <w:tcW w:w="2972" w:type="dxa"/>
            <w:vMerge w:val="continue"/>
          </w:tcPr>
          <w:p w14:paraId="71728A5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231F050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определённых интегралов для расчёта площадей и объёмов.</w:t>
            </w:r>
          </w:p>
        </w:tc>
      </w:tr>
      <w:tr w14:paraId="28BAB0EA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1DA0381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694778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задач с применением интегралов для расчёта физических величин.</w:t>
            </w:r>
          </w:p>
        </w:tc>
      </w:tr>
      <w:tr w14:paraId="7B74EB0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D21DB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6E6C7B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E891199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D4E7D6A">
        <w:trPr>
          <w:jc w:val="center"/>
        </w:trPr>
        <w:tc>
          <w:tcPr>
            <w:tcW w:w="14403" w:type="dxa"/>
            <w:gridSpan w:val="2"/>
          </w:tcPr>
          <w:p w14:paraId="4F6A551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Линейная алгебра (24 часа)</w:t>
            </w:r>
          </w:p>
        </w:tc>
      </w:tr>
      <w:tr w14:paraId="42E731E3">
        <w:trPr>
          <w:jc w:val="center"/>
        </w:trPr>
        <w:tc>
          <w:tcPr>
            <w:tcW w:w="2972" w:type="dxa"/>
            <w:vMerge w:val="restart"/>
          </w:tcPr>
          <w:p w14:paraId="072E183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Векторы и операции над ними</w:t>
            </w:r>
          </w:p>
        </w:tc>
        <w:tc>
          <w:tcPr>
            <w:tcW w:w="11431" w:type="dxa"/>
          </w:tcPr>
          <w:p w14:paraId="0E648FA4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DBAA2E9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A71AAD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5B461C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вектора, скалярное произведение, длина вектора.</w:t>
            </w:r>
          </w:p>
          <w:p w14:paraId="641827C5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Операции с векторами: сложение, вычитание, умножение на число.</w:t>
            </w:r>
          </w:p>
        </w:tc>
      </w:tr>
      <w:tr w14:paraId="0125A1F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C087F2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D0342C6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33AABF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E1C980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4A00D4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CDC872E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8409344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0CE38AF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Матрицы и системы линейных уравнений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782C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DC0EBF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05E470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8DC7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Определение матрицы, транспонирование, обратная матрица.</w:t>
            </w:r>
          </w:p>
          <w:p w14:paraId="398FCA01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Умножение матриц.</w:t>
            </w:r>
          </w:p>
          <w:p w14:paraId="5C45685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Решение систем линейных уравнений методом Гаусса.</w:t>
            </w:r>
          </w:p>
        </w:tc>
      </w:tr>
      <w:tr w14:paraId="3F844348">
        <w:trPr>
          <w:trHeight w:val="272" w:hRule="atLeast"/>
          <w:jc w:val="center"/>
        </w:trPr>
        <w:tc>
          <w:tcPr>
            <w:tcW w:w="2972" w:type="dxa"/>
            <w:vMerge w:val="continue"/>
          </w:tcPr>
          <w:p w14:paraId="1D28F6B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E775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49582BC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5015E7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BC30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Операции с векторами: сложение, вычитание и умножение на скаляр.</w:t>
            </w:r>
          </w:p>
        </w:tc>
      </w:tr>
      <w:tr w14:paraId="53F8877B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06C5458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9471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Вычисление длины и угла между векторами.</w:t>
            </w:r>
          </w:p>
        </w:tc>
      </w:tr>
      <w:tr w14:paraId="549EDAAC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007262E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852D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скалярного и векторного произведений в задачах аналитической геометрии.</w:t>
            </w:r>
          </w:p>
        </w:tc>
      </w:tr>
      <w:tr w14:paraId="4FB4BEE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D37D23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9ABF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9968D3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B42A132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640BFBF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2.3. Сингулярное разложение матриц (SVD)</w:t>
            </w:r>
          </w:p>
          <w:p w14:paraId="3ACEAD2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5199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74FDD76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62EECF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62FB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Основы разложения матрицы.</w:t>
            </w:r>
          </w:p>
          <w:p w14:paraId="4CA1C48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SVD для анализа данных и уменьшения размерности.</w:t>
            </w:r>
          </w:p>
        </w:tc>
      </w:tr>
      <w:tr w14:paraId="2B5219AD">
        <w:trPr>
          <w:trHeight w:val="173" w:hRule="atLeast"/>
          <w:jc w:val="center"/>
        </w:trPr>
        <w:tc>
          <w:tcPr>
            <w:tcW w:w="2972" w:type="dxa"/>
            <w:vMerge w:val="continue"/>
          </w:tcPr>
          <w:p w14:paraId="493D21C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65C5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D5C6C18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07AFDD0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F7E49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сингулярного разложения матрицы с помощью вычислительных методов.</w:t>
            </w:r>
          </w:p>
        </w:tc>
      </w:tr>
      <w:tr w14:paraId="3B08179F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6DABA9B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9A97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SVD для анализа многомерных данных.</w:t>
            </w:r>
          </w:p>
        </w:tc>
      </w:tr>
      <w:tr w14:paraId="76B85839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407F08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E4E2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Уменьшение размерности данных с использованием SVD в задачах машинного обучения.</w:t>
            </w:r>
          </w:p>
        </w:tc>
      </w:tr>
      <w:tr w14:paraId="72E6FEAA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91D75C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CECF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E5AF7F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F478615">
        <w:trPr>
          <w:jc w:val="center"/>
        </w:trPr>
        <w:tc>
          <w:tcPr>
            <w:tcW w:w="14403" w:type="dxa"/>
            <w:gridSpan w:val="2"/>
          </w:tcPr>
          <w:p w14:paraId="22C4B45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3. Математические модели и их применение (24 часа)</w:t>
            </w:r>
          </w:p>
        </w:tc>
      </w:tr>
      <w:tr w14:paraId="32945A15">
        <w:trPr>
          <w:jc w:val="center"/>
        </w:trPr>
        <w:tc>
          <w:tcPr>
            <w:tcW w:w="2972" w:type="dxa"/>
            <w:vMerge w:val="restart"/>
          </w:tcPr>
          <w:p w14:paraId="25EFC5F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3.1. Линейные модели</w:t>
            </w:r>
          </w:p>
        </w:tc>
        <w:tc>
          <w:tcPr>
            <w:tcW w:w="11431" w:type="dxa"/>
          </w:tcPr>
          <w:p w14:paraId="7A8A9C1F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B6B2014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0050A52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0DDAF7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Построение и анализ линейных моделей.</w:t>
            </w:r>
          </w:p>
          <w:p w14:paraId="43A1A60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Пример использования линейных моделей в задачах предсказания.</w:t>
            </w:r>
          </w:p>
        </w:tc>
      </w:tr>
      <w:tr w14:paraId="372EEA9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7BA685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540EF73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7CD5BF6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1DE983B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26E9816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линейной модели на основе экспериментальных данных.</w:t>
            </w:r>
          </w:p>
        </w:tc>
      </w:tr>
      <w:tr w14:paraId="6E99A3B0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6C4DA94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A6422D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Оценка параметров линейной регрессии с помощью метода наименьших квадратов.</w:t>
            </w:r>
          </w:p>
        </w:tc>
      </w:tr>
      <w:tr w14:paraId="3009C7F3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1729947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130967B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линейных моделей для предсказания значений.</w:t>
            </w:r>
          </w:p>
        </w:tc>
      </w:tr>
      <w:tr w14:paraId="68DF5F1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24871E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046360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092C013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40F0323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5C50969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3.2. Нелинейные модели</w:t>
            </w:r>
          </w:p>
          <w:p w14:paraId="1AAD8AB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ED43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25D0EE2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EF83D6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8F45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Построение и анализ нелинейных моделей.</w:t>
            </w:r>
          </w:p>
          <w:p w14:paraId="63A23F2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нелинейных моделей в задачах предсказания.</w:t>
            </w:r>
          </w:p>
        </w:tc>
      </w:tr>
      <w:tr w14:paraId="3777E9B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710E6E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69D2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6FAA0F7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0E4CDC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08D5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полиномиальной модели для аппроксимации данных.</w:t>
            </w:r>
          </w:p>
        </w:tc>
      </w:tr>
      <w:tr w14:paraId="25FF8BAB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47FDE83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26091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задач прогнозирования с помощью экспоненциальной и логарифмической нелинейных моделей.</w:t>
            </w:r>
          </w:p>
        </w:tc>
      </w:tr>
      <w:tr w14:paraId="5B1A70D5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579DF5A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64CB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нелинейных моделей для анализа зависимостей и предсказания сложных процессов.</w:t>
            </w:r>
          </w:p>
        </w:tc>
      </w:tr>
      <w:tr w14:paraId="4CC53179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0677F7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854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91098D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A026807">
        <w:trPr>
          <w:jc w:val="center"/>
        </w:trPr>
        <w:tc>
          <w:tcPr>
            <w:tcW w:w="14403" w:type="dxa"/>
            <w:gridSpan w:val="2"/>
          </w:tcPr>
          <w:p w14:paraId="4407CAF8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</w:p>
        </w:tc>
      </w:tr>
      <w:tr w14:paraId="2EFC9D9E">
        <w:trPr>
          <w:jc w:val="center"/>
        </w:trPr>
        <w:tc>
          <w:tcPr>
            <w:tcW w:w="14403" w:type="dxa"/>
            <w:gridSpan w:val="2"/>
          </w:tcPr>
          <w:p w14:paraId="495DCFE0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116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часа</w:t>
            </w:r>
          </w:p>
        </w:tc>
      </w:tr>
    </w:tbl>
    <w:p w14:paraId="5C554CEF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/>
          <w:sz w:val="24"/>
          <w:szCs w:val="24"/>
        </w:rPr>
        <w:t>6  посадочных мест учащихся (13 столов и 26 стульев),  рабочее место преподавателя (1 стол и 1 стул), маркерная доска 1 шт., ПО (Linux KUbuntu, onlyoffice, 7-zip, Ocular, Яндекс Браузер, draw.io, Git, JetBrains Rider, Qt Designer, Visual Studio Code,Postman, MySQL Workbench),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Core i3,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78893226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Гончаренко, В. М., Элементы высшей математики. : учебник / В. М. Гончаренко, Л. В. Липагина, А. А. Рылов. — Москва : КноРус, 2026. — 363 с. — (СПО). — (электронный учебник ЭБС)</w:t>
      </w:r>
    </w:p>
    <w:p w14:paraId="234CD7F6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Татарников, О. В., Элементы высшей математики : учебник / О. В. Татарников, Е. В. Швед, Н. В. Филиппова. — Москва : КноРус, 2025. — 281 с. — (СПО). — (электронный учебник ЭБС)</w:t>
      </w:r>
    </w:p>
    <w:p w14:paraId="1CEA6FC0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Гулиян, Б. Ш., Элементы высшей математики : учебное пособие / Б. Ш. Гулиян, Г. Б. Гулиян. — Москва : КноРус, 2025. — 436 с. — (СПО). — (электронный учебник ЭБС)</w:t>
      </w:r>
    </w:p>
    <w:p w14:paraId="70C21193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Бутырин, В. И., Справочник по высшей математике : учебное пособие / В. И. Бутырин. — Москва : Русайнс, 2024. — 193 с. — (электронный учебник ЭБС)</w:t>
      </w:r>
    </w:p>
    <w:p w14:paraId="0455BAA8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Макаров, С. И., Высшая математика: математический анализ и линейная алгебра: учебное пособие / С. И. Макаров. — Москва : КноРус, 2024. — 320 с. —(электронный учебник ЭБС)</w:t>
      </w:r>
    </w:p>
    <w:p w14:paraId="35654985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Высшая математика для экономистов. Практикум : учебно-практическое пособие / О. В. Татарников, Л. Г. Бирюкова, Н. А. Раутиан [и др.] ; под ред. О. В. Татарникова. — Москва : КноРус, 2022. — 318 с. — (электронный учебник ЭБС)</w:t>
      </w:r>
    </w:p>
    <w:p w14:paraId="724B5C8A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Королев, В. Т., Математика для нематематических специальностей и направлений : учебник / В. Т. Королев. — Москва : КноРус, 2024. — 220 с. — (электронный учебник ЭБС)</w:t>
      </w:r>
    </w:p>
    <w:p w14:paraId="70A3DE26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Григорьев В.П. Элементы высшей математики : учебник для студ. учреждений сред. проф. образования / В.П. Григорьев, Ю.А. Дубинский, Т.Н. Сабурова. – 2-е изд., стер. – М. : Издательский центр «Академия», 2017. – 400 с.</w:t>
      </w:r>
    </w:p>
    <w:p w14:paraId="2C669BA5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Григорьев В.П. Элементы высшей математики: учебник для студентов сред. проф. образования/В.П. Григорьев, Ю.А. Дубинский, Т.Н. Сабурова. — 2-е изд., стер.- М.: Издательский центр «Академия», 2018. — 400 с.</w:t>
      </w:r>
    </w:p>
    <w:p w14:paraId="7C2C6AA5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Григорьев В.П. Сборник задач по высшей математике учеб, пособие для студентов сред. проф. образования/В.П. Григорьев, Ю.А. Сабурова. — 7-е изд., стер.- М.: Издательский дом «Академия», 2017. — 160 с.</w:t>
      </w:r>
    </w:p>
    <w:p w14:paraId="3C933FE6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Григорьев В.П. Сборник задач по высшей математике учеб, пособие для студентов сред. проф. образования/В.П. Григорьев, Ю.А. Сабурова. — 7-е изд., стер.- М.: Издательский дом «Академия», 2018. — 160 с.</w:t>
      </w:r>
    </w:p>
    <w:p w14:paraId="1242F242">
      <w:pPr>
        <w:pStyle w:val="19"/>
        <w:numPr>
          <w:ilvl w:val="0"/>
          <w:numId w:val="7"/>
        </w:numPr>
        <w:tabs>
          <w:tab w:val="left" w:pos="1134"/>
          <w:tab w:val="clear" w:pos="425"/>
        </w:tabs>
        <w:spacing w:after="0" w:line="240" w:lineRule="auto"/>
        <w:ind w:left="5" w:leftChars="0" w:firstLine="875" w:firstLineChars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Дзюба, Т. С., Математика. Практикум : учебное пособие / Т. С. Дзюба. — Москва: Русайнс, 2025. — 202 с. — (электронный учебник ЭБС)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6583046B">
      <w:pPr>
        <w:pStyle w:val="15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clear" w:pos="425"/>
        </w:tabs>
        <w:spacing w:after="0" w:line="276" w:lineRule="auto"/>
        <w:ind w:left="0" w:leftChars="0" w:firstLine="880" w:firstLineChars="0"/>
        <w:jc w:val="both"/>
        <w:rPr>
          <w:rFonts w:hint="default" w:ascii="Times New Roman" w:hAnsi="Times New Roman"/>
          <w:color w:val="auto"/>
          <w:sz w:val="24"/>
          <w:szCs w:val="24"/>
        </w:rPr>
      </w:pPr>
      <w:r>
        <w:rPr>
          <w:rFonts w:hint="default" w:ascii="Times New Roman" w:hAnsi="Times New Roman"/>
          <w:color w:val="auto"/>
          <w:sz w:val="24"/>
          <w:szCs w:val="24"/>
        </w:rPr>
        <w:t>Гилев, В. Г., Элементарные функции, производные, интегралы и начала анализа : учебное пособие / В. Г. Гилев. — Москва : Русайнс, 2024. — 183 с. — ISBN 978-5-466-07848-0. — URL: https://book.ru/book/955648</w:t>
      </w:r>
    </w:p>
    <w:p w14:paraId="6E9145AA">
      <w:pPr>
        <w:pStyle w:val="15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clear" w:pos="425"/>
        </w:tabs>
        <w:spacing w:after="0" w:line="276" w:lineRule="auto"/>
        <w:ind w:left="0" w:leftChars="0" w:firstLine="880" w:firstLineChars="0"/>
        <w:jc w:val="both"/>
        <w:rPr>
          <w:rFonts w:hint="default" w:ascii="Times New Roman" w:hAnsi="Times New Roman"/>
          <w:color w:val="auto"/>
          <w:sz w:val="24"/>
          <w:szCs w:val="24"/>
        </w:rPr>
      </w:pPr>
      <w:r>
        <w:rPr>
          <w:rFonts w:hint="default" w:ascii="Times New Roman" w:hAnsi="Times New Roman"/>
          <w:color w:val="auto"/>
          <w:sz w:val="24"/>
          <w:szCs w:val="24"/>
        </w:rPr>
        <w:t>Гулиян, Б. Ш., Элементы высшей математики : учебное пособие / Б. Ш. Гулиян, Г. Б. Гулиян. — Москва : КноРус, 2025. — 436 с. — ISBN 978-5-406-13682-9. — URL: https://book.ru/book/955434</w:t>
      </w:r>
    </w:p>
    <w:p w14:paraId="54486090">
      <w:pPr>
        <w:pStyle w:val="15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clear" w:pos="425"/>
        </w:tabs>
        <w:spacing w:after="0" w:line="276" w:lineRule="auto"/>
        <w:ind w:left="0" w:leftChars="0" w:firstLine="880" w:firstLineChars="0"/>
        <w:jc w:val="both"/>
        <w:rPr>
          <w:rFonts w:hint="default" w:ascii="Times New Roman" w:hAnsi="Times New Roman"/>
          <w:color w:val="auto"/>
          <w:sz w:val="24"/>
          <w:szCs w:val="24"/>
        </w:rPr>
      </w:pPr>
      <w:r>
        <w:rPr>
          <w:rFonts w:hint="default" w:ascii="Times New Roman" w:hAnsi="Times New Roman"/>
          <w:color w:val="auto"/>
          <w:sz w:val="24"/>
          <w:szCs w:val="24"/>
        </w:rPr>
        <w:t xml:space="preserve">Гончаренко, В. М., Элементы высшей математики. : учебник / В. М. Гончаренко, Л. В. Липагина, А. А. Рылов. — Москва : КноРус, 2024. — 363 с. — ISBN 978-5-406-13414-6. — URL: </w:t>
      </w:r>
      <w:r>
        <w:rPr>
          <w:rFonts w:hint="default" w:ascii="Times New Roman" w:hAnsi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/>
          <w:color w:val="auto"/>
          <w:sz w:val="24"/>
          <w:szCs w:val="24"/>
        </w:rPr>
        <w:instrText xml:space="preserve"> HYPERLINK "https://book.ru/book/954527" </w:instrText>
      </w:r>
      <w:r>
        <w:rPr>
          <w:rFonts w:hint="default" w:ascii="Times New Roman" w:hAnsi="Times New Roman"/>
          <w:color w:val="auto"/>
          <w:sz w:val="24"/>
          <w:szCs w:val="24"/>
        </w:rPr>
        <w:fldChar w:fldCharType="separate"/>
      </w:r>
      <w:r>
        <w:rPr>
          <w:rStyle w:val="9"/>
          <w:rFonts w:hint="default" w:ascii="Times New Roman" w:hAnsi="Times New Roman"/>
          <w:color w:val="auto"/>
          <w:sz w:val="24"/>
          <w:szCs w:val="24"/>
        </w:rPr>
        <w:t>https://book.ru/book/954527</w:t>
      </w:r>
      <w:r>
        <w:rPr>
          <w:rFonts w:hint="default" w:ascii="Times New Roman" w:hAnsi="Times New Roman"/>
          <w:color w:val="auto"/>
          <w:sz w:val="24"/>
          <w:szCs w:val="24"/>
        </w:rPr>
        <w:fldChar w:fldCharType="end"/>
      </w:r>
    </w:p>
    <w:p w14:paraId="21A63FA7">
      <w:pPr>
        <w:pStyle w:val="15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clear" w:pos="425"/>
        </w:tabs>
        <w:spacing w:after="0" w:line="276" w:lineRule="auto"/>
        <w:ind w:left="0" w:leftChars="0" w:firstLine="880" w:firstLineChars="0"/>
        <w:jc w:val="both"/>
        <w:rPr>
          <w:rFonts w:hint="default" w:ascii="Times New Roman" w:hAnsi="Times New Roman"/>
          <w:color w:val="auto"/>
          <w:sz w:val="24"/>
          <w:szCs w:val="24"/>
        </w:rPr>
      </w:pPr>
      <w:r>
        <w:rPr>
          <w:rFonts w:hint="default" w:ascii="Times New Roman" w:hAnsi="Times New Roman"/>
          <w:color w:val="auto"/>
          <w:sz w:val="24"/>
          <w:szCs w:val="24"/>
        </w:rPr>
        <w:t>Дзюба, Т. С., Математика. Практикум : учебное пособие / Т. С. Дзюба. — Москва : Русайнс, 2024. — 202 с. — ISBN 978-5-466-06937-2. — URL: https://book.ru/book/954059</w:t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253CCED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5438DE75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E8F47A0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3785"/>
        <w:gridCol w:w="3632"/>
      </w:tblGrid>
      <w:tr w14:paraId="0AE91E7F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05949D5A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87" w:type="pct"/>
            <w:vAlign w:val="center"/>
          </w:tcPr>
          <w:p w14:paraId="31652E28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715" w:type="pct"/>
            <w:vAlign w:val="center"/>
          </w:tcPr>
          <w:p w14:paraId="11A891AC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1DE4E4D1">
        <w:trPr>
          <w:trHeight w:val="698" w:hRule="atLeast"/>
          <w:jc w:val="center"/>
        </w:trPr>
        <w:tc>
          <w:tcPr>
            <w:tcW w:w="1498" w:type="pct"/>
          </w:tcPr>
          <w:p w14:paraId="2C43ABA8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787" w:type="pct"/>
          </w:tcPr>
          <w:p w14:paraId="3B1D0461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633DC77E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541B06D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715" w:type="pct"/>
          </w:tcPr>
          <w:p w14:paraId="2BE22652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3FE2B6F6">
        <w:trPr>
          <w:trHeight w:val="698" w:hRule="atLeast"/>
          <w:jc w:val="center"/>
        </w:trPr>
        <w:tc>
          <w:tcPr>
            <w:tcW w:w="1498" w:type="pct"/>
          </w:tcPr>
          <w:p w14:paraId="712AF54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787" w:type="pct"/>
          </w:tcPr>
          <w:p w14:paraId="181065FC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48252939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54AB3DC8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715" w:type="pct"/>
          </w:tcPr>
          <w:p w14:paraId="486E05D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4F1DD79E">
        <w:trPr>
          <w:trHeight w:val="698" w:hRule="atLeast"/>
          <w:jc w:val="center"/>
        </w:trPr>
        <w:tc>
          <w:tcPr>
            <w:tcW w:w="1498" w:type="pct"/>
          </w:tcPr>
          <w:p w14:paraId="7791DB7F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787" w:type="pct"/>
          </w:tcPr>
          <w:p w14:paraId="319E9910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2C62D374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6656DE68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715" w:type="pct"/>
          </w:tcPr>
          <w:p w14:paraId="2D9F30BF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0899F482">
        <w:trPr>
          <w:trHeight w:val="698" w:hRule="atLeast"/>
          <w:jc w:val="center"/>
        </w:trPr>
        <w:tc>
          <w:tcPr>
            <w:tcW w:w="1498" w:type="pct"/>
          </w:tcPr>
          <w:p w14:paraId="46E5A622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787" w:type="pct"/>
          </w:tcPr>
          <w:p w14:paraId="7323491B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2BB87A1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5F305969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715" w:type="pct"/>
          </w:tcPr>
          <w:p w14:paraId="5CE2EC8E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015A6778">
        <w:trPr>
          <w:trHeight w:val="698" w:hRule="atLeast"/>
          <w:jc w:val="center"/>
        </w:trPr>
        <w:tc>
          <w:tcPr>
            <w:tcW w:w="1498" w:type="pct"/>
          </w:tcPr>
          <w:p w14:paraId="1545C871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787" w:type="pct"/>
          </w:tcPr>
          <w:p w14:paraId="312746C8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4AD3352E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23AC0D57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715" w:type="pct"/>
          </w:tcPr>
          <w:p w14:paraId="1A887E1A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28012D19">
        <w:trPr>
          <w:trHeight w:val="698" w:hRule="atLeast"/>
          <w:jc w:val="center"/>
        </w:trPr>
        <w:tc>
          <w:tcPr>
            <w:tcW w:w="1498" w:type="pct"/>
          </w:tcPr>
          <w:p w14:paraId="044006AB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787" w:type="pct"/>
          </w:tcPr>
          <w:p w14:paraId="274C77B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3B9938D3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0025B795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715" w:type="pct"/>
          </w:tcPr>
          <w:p w14:paraId="42007E7C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391CC063">
        <w:trPr>
          <w:trHeight w:val="698" w:hRule="atLeast"/>
          <w:jc w:val="center"/>
        </w:trPr>
        <w:tc>
          <w:tcPr>
            <w:tcW w:w="1498" w:type="pct"/>
          </w:tcPr>
          <w:p w14:paraId="502BD5F9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787" w:type="pct"/>
          </w:tcPr>
          <w:p w14:paraId="3CBC8CA5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286C71F5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635C7993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715" w:type="pct"/>
          </w:tcPr>
          <w:p w14:paraId="6DB0F7BB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51541606">
        <w:trPr>
          <w:trHeight w:val="698" w:hRule="atLeast"/>
          <w:jc w:val="center"/>
        </w:trPr>
        <w:tc>
          <w:tcPr>
            <w:tcW w:w="1498" w:type="pct"/>
          </w:tcPr>
          <w:p w14:paraId="1F0D6EC2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787" w:type="pct"/>
          </w:tcPr>
          <w:p w14:paraId="615EC551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0BC4A12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1166F7CA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715" w:type="pct"/>
          </w:tcPr>
          <w:p w14:paraId="363CB0B6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61D973AE">
        <w:trPr>
          <w:trHeight w:val="698" w:hRule="atLeast"/>
          <w:jc w:val="center"/>
        </w:trPr>
        <w:tc>
          <w:tcPr>
            <w:tcW w:w="1498" w:type="pct"/>
          </w:tcPr>
          <w:p w14:paraId="21DDD134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787" w:type="pct"/>
          </w:tcPr>
          <w:p w14:paraId="55AF7661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475D53CF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62650D9B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715" w:type="pct"/>
          </w:tcPr>
          <w:p w14:paraId="59C7D23E">
            <w:pPr>
              <w:suppressAutoHyphens/>
              <w:spacing w:line="276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  <w:bookmarkEnd w:id="31"/>
    </w:tbl>
    <w:p w14:paraId="03131ACD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FFA97"/>
    <w:multiLevelType w:val="singleLevel"/>
    <w:tmpl w:val="FFBFFA9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abstractNum w:abstractNumId="8">
    <w:nsid w:val="7FF6C5C4"/>
    <w:multiLevelType w:val="singleLevel"/>
    <w:tmpl w:val="7FF6C5C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375F3296"/>
    <w:rsid w:val="79BA5EF6"/>
    <w:rsid w:val="DCF6B4C8"/>
    <w:rsid w:val="F79BB055"/>
    <w:rsid w:val="F7E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2025-12-04T21:30:13Z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5F050915D99B659BC5983169764E09D8_42</vt:lpwstr>
  </property>
</Properties>
</file>